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21ACDB8A" w14:textId="77777777" w:rsidTr="0041512A">
        <w:tc>
          <w:tcPr>
            <w:tcW w:w="2263" w:type="dxa"/>
          </w:tcPr>
          <w:p w14:paraId="60974D28" w14:textId="05C059BF" w:rsidR="0041512A" w:rsidRDefault="003849E1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 xml:space="preserve"> HYPERLINK "../PROCEDIMENTI.docx" </w:instrText>
            </w:r>
            <w:r>
              <w:rPr>
                <w:color w:val="auto"/>
                <w:u w:val="none"/>
              </w:rPr>
              <w:fldChar w:fldCharType="separate"/>
            </w:r>
            <w:r w:rsidR="007B08DF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2777E740" w14:textId="77777777" w:rsidR="0041512A" w:rsidRDefault="00A123BB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Fochino</w:t>
            </w:r>
          </w:p>
        </w:tc>
        <w:tc>
          <w:tcPr>
            <w:tcW w:w="1979" w:type="dxa"/>
          </w:tcPr>
          <w:p w14:paraId="3DEF556C" w14:textId="1BE385A4" w:rsidR="0041512A" w:rsidRPr="0041512A" w:rsidRDefault="00F530E9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265A15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2D0943F2" w14:textId="77777777" w:rsidTr="0041512A">
        <w:tc>
          <w:tcPr>
            <w:tcW w:w="9629" w:type="dxa"/>
            <w:gridSpan w:val="3"/>
          </w:tcPr>
          <w:p w14:paraId="7F6F05A9" w14:textId="33067A62" w:rsidR="00F33A15" w:rsidRPr="00354041" w:rsidRDefault="00354041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354041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1391E00" w14:textId="77777777" w:rsidR="00A123BB" w:rsidRPr="00724291" w:rsidRDefault="00A123BB" w:rsidP="00A123BB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2429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Il fochino è una figura professionale che maneggia e prepara gli esplosivi. Questa mansione viene solitamente svolta nel campo minerario e nell'edilizia (demolizioni).</w:t>
            </w:r>
          </w:p>
          <w:p w14:paraId="6740DEB5" w14:textId="77777777" w:rsidR="00A123BB" w:rsidRPr="009D6F50" w:rsidRDefault="00A123BB" w:rsidP="00A123BB">
            <w:pPr>
              <w:spacing w:after="60"/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 w:rsidRPr="009D6F50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In particolare, il fochino:</w:t>
            </w:r>
          </w:p>
          <w:p w14:paraId="3EACB77F" w14:textId="77777777" w:rsidR="00A123BB" w:rsidRPr="00724291" w:rsidRDefault="00A123BB" w:rsidP="00A123BB">
            <w:pPr>
              <w:numPr>
                <w:ilvl w:val="0"/>
                <w:numId w:val="8"/>
              </w:numPr>
              <w:tabs>
                <w:tab w:val="clear" w:pos="720"/>
                <w:tab w:val="num" w:pos="873"/>
              </w:tabs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2429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brilla le mine con innesco elettrico e a fuoco</w:t>
            </w:r>
          </w:p>
          <w:p w14:paraId="030852A4" w14:textId="77777777" w:rsidR="00A123BB" w:rsidRPr="00724291" w:rsidRDefault="00A123BB" w:rsidP="00A123BB">
            <w:pPr>
              <w:numPr>
                <w:ilvl w:val="0"/>
                <w:numId w:val="8"/>
              </w:numPr>
              <w:tabs>
                <w:tab w:val="clear" w:pos="720"/>
                <w:tab w:val="num" w:pos="873"/>
              </w:tabs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2429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disgela le dinamiti</w:t>
            </w:r>
          </w:p>
          <w:p w14:paraId="71570656" w14:textId="77777777" w:rsidR="00A123BB" w:rsidRPr="00724291" w:rsidRDefault="00A123BB" w:rsidP="00A123BB">
            <w:pPr>
              <w:numPr>
                <w:ilvl w:val="0"/>
                <w:numId w:val="8"/>
              </w:numPr>
              <w:tabs>
                <w:tab w:val="clear" w:pos="720"/>
                <w:tab w:val="num" w:pos="873"/>
              </w:tabs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2429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confeziona e innesca le cariche e carica i fori da mina</w:t>
            </w:r>
          </w:p>
          <w:p w14:paraId="329B0A41" w14:textId="77777777" w:rsidR="00A123BB" w:rsidRPr="00724291" w:rsidRDefault="00A123BB" w:rsidP="00A123BB">
            <w:pPr>
              <w:numPr>
                <w:ilvl w:val="0"/>
                <w:numId w:val="8"/>
              </w:numPr>
              <w:tabs>
                <w:tab w:val="clear" w:pos="720"/>
                <w:tab w:val="num" w:pos="873"/>
              </w:tabs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2429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elimina le cariche esplose</w:t>
            </w:r>
          </w:p>
          <w:p w14:paraId="00E53782" w14:textId="77777777" w:rsidR="0003034E" w:rsidRDefault="0003034E" w:rsidP="0003034E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268057C2" w14:textId="54B117F1" w:rsidR="00354041" w:rsidRPr="0079028E" w:rsidRDefault="00354041" w:rsidP="00354041">
            <w:pPr>
              <w:ind w:left="174" w:right="312"/>
              <w:jc w:val="both"/>
              <w:rPr>
                <w:rStyle w:val="Collegamentoipertestuale"/>
                <w:b/>
              </w:rPr>
            </w:pPr>
            <w:r>
              <w:rPr>
                <w:b/>
              </w:rPr>
              <w:fldChar w:fldCharType="begin"/>
            </w:r>
            <w:r w:rsidR="00744BF7">
              <w:rPr>
                <w:b/>
              </w:rPr>
              <w:instrText>HYPERLINK "Definizioni/5PA%20Requisiti%20soggettivi.pdf"</w:instrText>
            </w:r>
            <w:r>
              <w:rPr>
                <w:b/>
              </w:rPr>
              <w:fldChar w:fldCharType="separate"/>
            </w:r>
            <w:r w:rsidRPr="0079028E">
              <w:rPr>
                <w:rStyle w:val="Collegamentoipertestuale"/>
                <w:b/>
              </w:rPr>
              <w:t>Requisiti soggettivi</w:t>
            </w:r>
          </w:p>
          <w:p w14:paraId="6D2A1D03" w14:textId="24B3775C" w:rsidR="005216F3" w:rsidRPr="00354041" w:rsidRDefault="00354041" w:rsidP="00354041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b/>
              </w:rPr>
              <w:fldChar w:fldCharType="end"/>
            </w:r>
          </w:p>
          <w:p w14:paraId="339E8BCC" w14:textId="724400D1" w:rsidR="00A123BB" w:rsidRPr="00A123BB" w:rsidRDefault="00A123BB" w:rsidP="00354041">
            <w:pPr>
              <w:spacing w:after="6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54041">
              <w:rPr>
                <w:rStyle w:val="Collegamentoipertestuale"/>
                <w:b/>
                <w:color w:val="C00000"/>
                <w:u w:val="none"/>
              </w:rPr>
              <w:t>Requisiti professionali</w:t>
            </w:r>
            <w:r w:rsidR="00354041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  <w:r w:rsidR="00354041" w:rsidRPr="00354041">
              <w:rPr>
                <w:rStyle w:val="Collegamentoipertestuale"/>
                <w:b/>
                <w:color w:val="C00000"/>
                <w:u w:val="none"/>
              </w:rPr>
              <w:t xml:space="preserve">- </w:t>
            </w:r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L'attività di </w:t>
            </w:r>
            <w:r w:rsidRPr="00A123B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fochino</w:t>
            </w:r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deve essere effettuata esclusivamente da personale che possiede l’</w:t>
            </w:r>
            <w:r w:rsidRPr="00A123BB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attestato</w:t>
            </w:r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rilasciato dalla Commissione tecnica provinciale per gli esplosivi. </w:t>
            </w:r>
          </w:p>
          <w:p w14:paraId="6465E135" w14:textId="77777777" w:rsidR="00A123BB" w:rsidRPr="00A123BB" w:rsidRDefault="00A123BB" w:rsidP="00354041">
            <w:pPr>
              <w:spacing w:after="6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Tiene luogo del certificato di cui al primo comma di questo articolo il certificato di idoneità rilasciato da un laboratorio pirotecnico governativo o da un centro militare di esperienze abilitato al rilascio di diplomi di artificieri.</w:t>
            </w:r>
          </w:p>
          <w:p w14:paraId="337D8EC3" w14:textId="77777777" w:rsidR="00A123BB" w:rsidRPr="00A123BB" w:rsidRDefault="00A123BB" w:rsidP="00354041">
            <w:pPr>
              <w:spacing w:after="6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L’interessato deve inoltre possedere </w:t>
            </w:r>
            <w:r w:rsidRPr="00A123BB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il certificato di idoneità fisica rilasciato dall’Ispettore Medico della Commissione Provinciale Materie Esplodenti </w:t>
            </w:r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dal quale risultano:</w:t>
            </w:r>
          </w:p>
          <w:p w14:paraId="72DAA6E1" w14:textId="77777777" w:rsidR="00A123BB" w:rsidRPr="00A123BB" w:rsidRDefault="00A123BB" w:rsidP="00354041">
            <w:pPr>
              <w:numPr>
                <w:ilvl w:val="0"/>
                <w:numId w:val="9"/>
              </w:numPr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 requisiti fisici indispensabili (vista, udito, funzionalità degli arti)</w:t>
            </w:r>
          </w:p>
          <w:p w14:paraId="4940EFFD" w14:textId="77777777" w:rsidR="00A123BB" w:rsidRPr="00A123BB" w:rsidRDefault="00A123BB" w:rsidP="00354041">
            <w:pPr>
              <w:numPr>
                <w:ilvl w:val="0"/>
                <w:numId w:val="9"/>
              </w:numPr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capacità intellettuale e la cultura generale indispensabili</w:t>
            </w:r>
          </w:p>
          <w:p w14:paraId="5B438643" w14:textId="77777777" w:rsidR="00A123BB" w:rsidRPr="00A123BB" w:rsidRDefault="00A123BB" w:rsidP="00354041">
            <w:pPr>
              <w:numPr>
                <w:ilvl w:val="0"/>
                <w:numId w:val="9"/>
              </w:numPr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cognizioni proprie del mestiere</w:t>
            </w:r>
          </w:p>
          <w:p w14:paraId="4882B1E0" w14:textId="77777777" w:rsidR="00A123BB" w:rsidRPr="00A123BB" w:rsidRDefault="00A123BB" w:rsidP="00354041">
            <w:pPr>
              <w:numPr>
                <w:ilvl w:val="0"/>
                <w:numId w:val="9"/>
              </w:numPr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conoscenza delle norme di sicurezza e di legge riguardanti l'impiego degli esplosivi nei lavori da mina.</w:t>
            </w:r>
          </w:p>
          <w:p w14:paraId="58EEA9AD" w14:textId="70F60E8C" w:rsidR="00A123BB" w:rsidRPr="00A123BB" w:rsidRDefault="00A123BB" w:rsidP="00354041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Gli aspiranti alla licenza devono consegnare alla </w:t>
            </w:r>
            <w:r w:rsidR="003A17A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Prefettura </w:t>
            </w:r>
            <w:hyperlink r:id="rId6" w:history="1">
              <w:r w:rsidRPr="00CC06EA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lang w:eastAsia="it-IT"/>
                </w:rPr>
                <w:t>domanda in carta libera</w:t>
              </w:r>
            </w:hyperlink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specificando l'oggetto della richiesta, le generalità del richiedente, il domicilio o recapito. </w:t>
            </w:r>
          </w:p>
          <w:p w14:paraId="56F040BE" w14:textId="77777777" w:rsidR="00A123BB" w:rsidRPr="00354041" w:rsidRDefault="00A123BB" w:rsidP="00A123BB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59F08C44" w14:textId="77777777" w:rsidR="00276654" w:rsidRPr="00354041" w:rsidRDefault="004F59C5" w:rsidP="00A123BB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354041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7C420556" w14:textId="77777777" w:rsidR="00A123BB" w:rsidRPr="00A123BB" w:rsidRDefault="00A123BB" w:rsidP="00A123BB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A123BB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esercitare l’attività non professionale di Fochino, deve munirsi di apposita licenza presentando al SUAP una </w:t>
            </w:r>
            <w:r w:rsidRPr="00A123B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Condizionata.</w:t>
            </w:r>
          </w:p>
          <w:p w14:paraId="0BD39F05" w14:textId="6DFF55C3" w:rsidR="00A123BB" w:rsidRPr="00A123BB" w:rsidRDefault="00A123BB" w:rsidP="00A123BB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35404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La SCIA</w:t>
            </w:r>
            <w:r w:rsidRPr="00A123BB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deve essere</w:t>
            </w:r>
            <w:r w:rsidRPr="00A123B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A123B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presentata </w:t>
            </w:r>
            <w:r w:rsidRPr="00A123BB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7" w:history="1">
              <w:r w:rsidR="00721034" w:rsidRPr="00721034">
                <w:rPr>
                  <w:b/>
                  <w:color w:val="0000FF"/>
                  <w:sz w:val="20"/>
                  <w:szCs w:val="20"/>
                </w:rPr>
                <w:t>Impresainungiorno.gov.it</w:t>
              </w:r>
              <w:r w:rsidRPr="00721034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A123BB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3DF8A39B" w14:textId="7B0F333C" w:rsidR="00354041" w:rsidRPr="005E5880" w:rsidRDefault="00354041" w:rsidP="00354041">
            <w:pPr>
              <w:spacing w:after="24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</w:pPr>
            <w:r w:rsidRPr="005E5880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Intrattenimento</w:t>
            </w:r>
            <w:r w:rsidRPr="005E5880">
              <w:rPr>
                <w:b/>
                <w:color w:val="auto"/>
                <w:sz w:val="20"/>
                <w:szCs w:val="20"/>
                <w:u w:val="none"/>
              </w:rPr>
              <w:t xml:space="preserve">,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Divertimento, Attività artistiche e Sportive (Ateco da 90 a 93)</w:t>
            </w:r>
            <w:r w:rsidRPr="005E5880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Intrattenimento e divertimento + </w:t>
            </w:r>
            <w:r w:rsidRPr="005E5880">
              <w:rPr>
                <w:b/>
                <w:color w:val="auto"/>
                <w:sz w:val="20"/>
                <w:szCs w:val="20"/>
                <w:u w:val="none"/>
              </w:rPr>
              <w:t xml:space="preserve">Attività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di fochino</w:t>
            </w:r>
            <w:r w:rsidRPr="005E5880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, </w:t>
            </w:r>
            <w:r w:rsidRPr="005E5880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5E588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E5880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5E588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E5880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5E588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E588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5E588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Richiedere la licenza</w:t>
            </w:r>
            <w:r w:rsidRPr="005E588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26126E7" w14:textId="77777777" w:rsidR="00C45089" w:rsidRPr="005E5880" w:rsidRDefault="00C45089" w:rsidP="00C45089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 xml:space="preserve">Variazioni: </w:t>
            </w:r>
            <w:r w:rsidRPr="005E5880">
              <w:rPr>
                <w:color w:val="auto"/>
                <w:sz w:val="20"/>
                <w:szCs w:val="20"/>
                <w:u w:val="none"/>
              </w:rPr>
              <w:t>Con la stessa procedura si attiva il rinnovo triennale della licenza e si comunica la cessazione e la sospensione dell’attività</w:t>
            </w:r>
          </w:p>
          <w:p w14:paraId="141E59B1" w14:textId="612C290C" w:rsidR="00C45089" w:rsidRPr="0079028E" w:rsidRDefault="00C45089" w:rsidP="00C45089">
            <w:pPr>
              <w:spacing w:after="12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5E588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modifiche di residenza devono essere comunicate tempestivamente al SUAP, in via telematica con PEC, mediante l’invio della</w:t>
            </w:r>
            <w:r w:rsidRPr="005E5880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begin"/>
            </w:r>
            <w:r w:rsidR="00744BF7">
              <w:rPr>
                <w:rFonts w:eastAsia="Times New Roman"/>
                <w:b/>
                <w:sz w:val="20"/>
                <w:szCs w:val="20"/>
                <w:lang w:eastAsia="it-IT"/>
              </w:rPr>
              <w:instrText>HYPERLINK "Modulistica/2PA%20-%20Modulo_scheda-variazioni%20anagrafiche.pdf"</w:instrTex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separate"/>
            </w:r>
            <w:r w:rsidRPr="0079028E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scheda anagrafica.</w:t>
            </w:r>
          </w:p>
          <w:p w14:paraId="6B6392D2" w14:textId="77777777" w:rsidR="00C45089" w:rsidRPr="0003034E" w:rsidRDefault="00C45089" w:rsidP="00C45089">
            <w:pPr>
              <w:pStyle w:val="Paragrafoelenco"/>
              <w:ind w:left="164" w:right="312"/>
              <w:rPr>
                <w:b/>
                <w:sz w:val="20"/>
                <w:szCs w:val="20"/>
                <w:u w:val="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end"/>
            </w:r>
          </w:p>
          <w:p w14:paraId="7B29A69A" w14:textId="2DB91B67" w:rsidR="00DC3845" w:rsidRDefault="00F530E9" w:rsidP="00C45089">
            <w:pPr>
              <w:ind w:left="164" w:right="312"/>
              <w:jc w:val="both"/>
              <w:rPr>
                <w:b/>
                <w:bCs/>
                <w:color w:val="0000FF"/>
              </w:rPr>
            </w:pPr>
            <w:hyperlink r:id="rId8" w:history="1">
              <w:r w:rsidR="00DC3845" w:rsidRPr="00DC3845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3BCF45F3" w14:textId="77777777" w:rsidR="00DC3845" w:rsidRPr="00DC3845" w:rsidRDefault="00DC3845" w:rsidP="00C45089">
            <w:pPr>
              <w:ind w:left="164" w:right="312"/>
              <w:jc w:val="both"/>
              <w:rPr>
                <w:b/>
                <w:bCs/>
                <w:color w:val="0000FF"/>
              </w:rPr>
            </w:pPr>
          </w:p>
          <w:p w14:paraId="660472FB" w14:textId="095774D4" w:rsidR="00C45089" w:rsidRPr="00744B7C" w:rsidRDefault="00F530E9" w:rsidP="00C45089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9" w:history="1">
              <w:r w:rsidR="00C45089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C45089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ATECO  </w:t>
              </w:r>
              <w:r w:rsidR="00C45089" w:rsidRPr="00FE1629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(</w:t>
              </w:r>
              <w:proofErr w:type="gramEnd"/>
            </w:hyperlink>
            <w:r w:rsidR="00C4508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da </w:t>
            </w:r>
            <w:r w:rsidR="00C45089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90</w:t>
            </w:r>
            <w:r w:rsidR="00C4508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a </w:t>
            </w:r>
            <w:r w:rsidR="00C45089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93</w:t>
            </w:r>
            <w:r w:rsidR="00C4508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53BBE837" w14:textId="77777777" w:rsidR="00C45089" w:rsidRDefault="00C45089" w:rsidP="00C45089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6AC8686F" w14:textId="4A9ED576" w:rsidR="00C45089" w:rsidRPr="00A960D3" w:rsidRDefault="00C45089" w:rsidP="00C45089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744BF7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</w:t>
            </w:r>
            <w:r w:rsidRPr="00A960D3">
              <w:rPr>
                <w:rStyle w:val="Collegamentoipertestuale"/>
                <w:b/>
                <w:bCs/>
              </w:rPr>
              <w:t>s</w:t>
            </w:r>
            <w:r w:rsidRPr="00A960D3">
              <w:rPr>
                <w:rStyle w:val="Collegamentoipertestuale"/>
                <w:b/>
                <w:bCs/>
              </w:rPr>
              <w:t>truttori</w:t>
            </w:r>
          </w:p>
          <w:p w14:paraId="255B5E17" w14:textId="77777777" w:rsidR="00C45089" w:rsidRDefault="00C45089" w:rsidP="00C4508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D356442" w14:textId="77777777" w:rsidR="00C45089" w:rsidRPr="00042B0E" w:rsidRDefault="00C45089" w:rsidP="00C45089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445411E4" w14:textId="60D72A67" w:rsidR="00C45089" w:rsidRPr="00B8144D" w:rsidRDefault="00C45089" w:rsidP="00C45089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</w:rPr>
              <w:fldChar w:fldCharType="begin"/>
            </w:r>
            <w:r w:rsidR="00744BF7">
              <w:rPr>
                <w:b/>
              </w:rPr>
              <w:instrText>HYPERLINK "Definizioni/7PA%20Tempistica.pdf"</w:instrText>
            </w:r>
            <w:r>
              <w:rPr>
                <w:b/>
              </w:rPr>
              <w:fldChar w:fldCharType="separate"/>
            </w:r>
            <w:r w:rsidRPr="00B8144D">
              <w:rPr>
                <w:rStyle w:val="Collegamentoipertestuale"/>
                <w:b/>
              </w:rPr>
              <w:t>Tempistica</w:t>
            </w:r>
          </w:p>
          <w:p w14:paraId="683F3077" w14:textId="77777777" w:rsidR="00C45089" w:rsidRDefault="00C45089" w:rsidP="00C45089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b/>
              </w:rPr>
              <w:fldChar w:fldCharType="end"/>
            </w:r>
          </w:p>
          <w:p w14:paraId="5A7630D9" w14:textId="2B944DB4" w:rsidR="00394FB5" w:rsidRPr="00945B26" w:rsidRDefault="00F530E9" w:rsidP="00394FB5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0" w:history="1">
              <w:r w:rsidR="00C45089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C45089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C45089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C45089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C45089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1" w:history="1">
              <w:r w:rsidR="008B3460" w:rsidRPr="009D241B">
                <w:rPr>
                  <w:rStyle w:val="Collegamentoipertestuale"/>
                  <w:b/>
                  <w:sz w:val="20"/>
                  <w:szCs w:val="20"/>
                </w:rPr>
                <w:t>TUR part</w:t>
              </w:r>
              <w:r w:rsidR="008B3460" w:rsidRPr="009D241B">
                <w:rPr>
                  <w:rStyle w:val="Collegamentoipertestuale"/>
                  <w:b/>
                  <w:sz w:val="20"/>
                  <w:szCs w:val="20"/>
                </w:rPr>
                <w:t>e</w:t>
              </w:r>
              <w:r w:rsidR="008B3460" w:rsidRPr="009D241B">
                <w:rPr>
                  <w:rStyle w:val="Collegamentoipertestuale"/>
                  <w:b/>
                  <w:sz w:val="20"/>
                  <w:szCs w:val="20"/>
                </w:rPr>
                <w:t xml:space="preserve"> 5^</w:t>
              </w:r>
            </w:hyperlink>
            <w:r w:rsidR="008B3460" w:rsidRPr="00945B26">
              <w:rPr>
                <w:color w:val="0000FF"/>
                <w:sz w:val="20"/>
                <w:szCs w:val="20"/>
              </w:rPr>
              <w:t xml:space="preserve"> </w:t>
            </w:r>
            <w:r w:rsidR="00394FB5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394FB5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584C2CE2" w14:textId="033CE47B" w:rsidR="00C45089" w:rsidRPr="00945B26" w:rsidRDefault="00C45089" w:rsidP="00C45089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D62C8B1" w14:textId="77777777" w:rsidR="00C45089" w:rsidRPr="00B8144D" w:rsidRDefault="00C45089" w:rsidP="00C45089">
            <w:pPr>
              <w:pStyle w:val="Paragrafoelenco"/>
              <w:spacing w:after="120"/>
              <w:ind w:left="164" w:right="312"/>
              <w:jc w:val="both"/>
              <w:rPr>
                <w:color w:val="C00000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</w:p>
          <w:p w14:paraId="51BA3266" w14:textId="77777777" w:rsidR="00C45089" w:rsidRDefault="00F530E9" w:rsidP="00C45089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12" w:history="1">
              <w:r w:rsidR="00C45089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6F2C55E2" w14:textId="77777777" w:rsidR="00C45089" w:rsidRDefault="00F530E9" w:rsidP="00C45089">
            <w:pPr>
              <w:ind w:left="164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hyperlink r:id="rId13" w:history="1">
              <w:r w:rsidR="00C45089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2AEEFA68" w14:textId="1B62DC86" w:rsidR="002627EC" w:rsidRPr="0041512A" w:rsidRDefault="002627EC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57805E6C" w14:textId="77777777" w:rsidR="00342D58" w:rsidRDefault="00342D58">
      <w:pPr>
        <w:rPr>
          <w:b/>
        </w:rPr>
      </w:pPr>
    </w:p>
    <w:p w14:paraId="72B34852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7DA7"/>
    <w:rsid w:val="000E4B7E"/>
    <w:rsid w:val="000F3ADF"/>
    <w:rsid w:val="00112873"/>
    <w:rsid w:val="00117F1E"/>
    <w:rsid w:val="001A44F4"/>
    <w:rsid w:val="002210DE"/>
    <w:rsid w:val="0023487B"/>
    <w:rsid w:val="002627EC"/>
    <w:rsid w:val="00265A15"/>
    <w:rsid w:val="00276654"/>
    <w:rsid w:val="002A5D7C"/>
    <w:rsid w:val="002A6285"/>
    <w:rsid w:val="002B375D"/>
    <w:rsid w:val="00342D58"/>
    <w:rsid w:val="00354041"/>
    <w:rsid w:val="003849E1"/>
    <w:rsid w:val="00394FB5"/>
    <w:rsid w:val="003A17A0"/>
    <w:rsid w:val="003A4A32"/>
    <w:rsid w:val="003C5FBA"/>
    <w:rsid w:val="0041512A"/>
    <w:rsid w:val="004257E1"/>
    <w:rsid w:val="0044342C"/>
    <w:rsid w:val="0045341A"/>
    <w:rsid w:val="004704B5"/>
    <w:rsid w:val="00493BD0"/>
    <w:rsid w:val="004F3CF0"/>
    <w:rsid w:val="004F59C5"/>
    <w:rsid w:val="004F667B"/>
    <w:rsid w:val="00506E58"/>
    <w:rsid w:val="005216F3"/>
    <w:rsid w:val="005445F9"/>
    <w:rsid w:val="005930C1"/>
    <w:rsid w:val="005C68B2"/>
    <w:rsid w:val="005C720B"/>
    <w:rsid w:val="005E5880"/>
    <w:rsid w:val="00621A5C"/>
    <w:rsid w:val="00651378"/>
    <w:rsid w:val="00692827"/>
    <w:rsid w:val="006B29D2"/>
    <w:rsid w:val="006B3A13"/>
    <w:rsid w:val="006C7151"/>
    <w:rsid w:val="00705665"/>
    <w:rsid w:val="00721034"/>
    <w:rsid w:val="00737DA2"/>
    <w:rsid w:val="00744BF7"/>
    <w:rsid w:val="00746376"/>
    <w:rsid w:val="007B08DF"/>
    <w:rsid w:val="0082478D"/>
    <w:rsid w:val="00897F79"/>
    <w:rsid w:val="008B3460"/>
    <w:rsid w:val="008C33C7"/>
    <w:rsid w:val="00945B26"/>
    <w:rsid w:val="009A4645"/>
    <w:rsid w:val="009C0F33"/>
    <w:rsid w:val="00A06B50"/>
    <w:rsid w:val="00A123BB"/>
    <w:rsid w:val="00AD4638"/>
    <w:rsid w:val="00B0731C"/>
    <w:rsid w:val="00B357A2"/>
    <w:rsid w:val="00B66F7C"/>
    <w:rsid w:val="00BF42AE"/>
    <w:rsid w:val="00C45089"/>
    <w:rsid w:val="00C459E8"/>
    <w:rsid w:val="00C75D34"/>
    <w:rsid w:val="00CC06EA"/>
    <w:rsid w:val="00CD592E"/>
    <w:rsid w:val="00D16B5E"/>
    <w:rsid w:val="00DC3845"/>
    <w:rsid w:val="00DC5DC3"/>
    <w:rsid w:val="00DF0435"/>
    <w:rsid w:val="00E25843"/>
    <w:rsid w:val="00E660BB"/>
    <w:rsid w:val="00EB1403"/>
    <w:rsid w:val="00EC45A4"/>
    <w:rsid w:val="00EE371A"/>
    <w:rsid w:val="00F2381A"/>
    <w:rsid w:val="00F312D0"/>
    <w:rsid w:val="00F33A15"/>
    <w:rsid w:val="00F530E9"/>
    <w:rsid w:val="00F7507C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EF05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legati/PA5%20Mestiere%20di%20fochino.pdf" TargetMode="External"/><Relationship Id="rId13" Type="http://schemas.openxmlformats.org/officeDocument/2006/relationships/hyperlink" Target="https://www.tuttocamere.it/files/psicurezza/1940_63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resainungiorno.gov.it/web/guest/comune?codCatastale=L581" TargetMode="External"/><Relationship Id="rId12" Type="http://schemas.openxmlformats.org/officeDocument/2006/relationships/hyperlink" Target="https://www.tuttocamere.it/files/psicurezza/1931_7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fettura.it/milano/contenuti/Esplosivi-9867.htm" TargetMode="External"/><Relationship Id="rId11" Type="http://schemas.openxmlformats.org/officeDocument/2006/relationships/hyperlink" Target="file:///C:\Walter\sportello%20unico\Progetto%20PUC\TUR\Parte%205%5e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../Definizioni/Riferimenti%20normativi%20e%20di%20controll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ATECO/Ateco%20Arte_Sport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62</cp:revision>
  <dcterms:created xsi:type="dcterms:W3CDTF">2018-04-13T14:42:00Z</dcterms:created>
  <dcterms:modified xsi:type="dcterms:W3CDTF">2021-05-12T08:42:00Z</dcterms:modified>
</cp:coreProperties>
</file>